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3D9750B" w:rsidR="00084C53" w:rsidRDefault="006D49C0" w:rsidP="00281E94">
      <w:pPr>
        <w:pStyle w:val="a"/>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636A92">
        <w:rPr>
          <w:spacing w:val="0"/>
          <w:sz w:val="21"/>
          <w:szCs w:val="21"/>
        </w:rPr>
        <w:t>MM/DD</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4601FEB1" w:rsidR="005927ED" w:rsidRPr="00E94635" w:rsidRDefault="00E94635" w:rsidP="00E94635">
            <w:pPr>
              <w:rPr>
                <w:rFonts w:ascii="Times New Roman"/>
                <w:kern w:val="0"/>
                <w:sz w:val="24"/>
              </w:rPr>
            </w:pPr>
            <w:r w:rsidRPr="00E94635">
              <w:rPr>
                <w:rFonts w:ascii="MS PMincho" w:eastAsia="MS PMincho" w:hAnsi="MS PMincho"/>
                <w:sz w:val="22"/>
                <w:szCs w:val="22"/>
              </w:rPr>
              <w:t>Japan Synchrotron Radiation Research Institute (JASRI)</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6671CC84" w:rsidR="005927ED" w:rsidRPr="00BB5007" w:rsidRDefault="00BB5007" w:rsidP="00BB5007">
            <w:pPr>
              <w:widowControl/>
              <w:jc w:val="left"/>
              <w:rPr>
                <w:rFonts w:ascii="Times New Roman"/>
                <w:kern w:val="0"/>
                <w:sz w:val="24"/>
              </w:rPr>
            </w:pPr>
            <w:r w:rsidRPr="00BB5007">
              <w:rPr>
                <w:rFonts w:ascii="MS PMincho" w:eastAsia="MS PMincho" w:hAnsi="MS PMincho"/>
                <w:sz w:val="22"/>
                <w:szCs w:val="22"/>
              </w:rPr>
              <w:t>Research Scientist</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9B40963" w:rsidR="005927ED" w:rsidRPr="00636A92" w:rsidRDefault="008D63A2" w:rsidP="005A04CE">
            <w:pPr>
              <w:rPr>
                <w:rFonts w:ascii="MS PMincho" w:eastAsia="MS PMincho" w:hAnsi="MS PMincho"/>
                <w:sz w:val="22"/>
                <w:szCs w:val="22"/>
              </w:rPr>
            </w:pPr>
            <w:r w:rsidRPr="008D63A2">
              <w:rPr>
                <w:rFonts w:ascii="MS PMincho" w:eastAsia="MS PMincho" w:hAnsi="MS PMincho"/>
                <w:sz w:val="22"/>
                <w:szCs w:val="22"/>
              </w:rPr>
              <w:t xml:space="preserve">Loku </w:t>
            </w:r>
            <w:proofErr w:type="spellStart"/>
            <w:r w:rsidRPr="008D63A2">
              <w:rPr>
                <w:rFonts w:ascii="MS PMincho" w:eastAsia="MS PMincho" w:hAnsi="MS PMincho"/>
                <w:sz w:val="22"/>
                <w:szCs w:val="22"/>
              </w:rPr>
              <w:t>Singgappulige</w:t>
            </w:r>
            <w:proofErr w:type="spellEnd"/>
            <w:r w:rsidRPr="008D63A2">
              <w:rPr>
                <w:rFonts w:ascii="MS PMincho" w:eastAsia="MS PMincho" w:hAnsi="MS PMincho"/>
                <w:sz w:val="22"/>
                <w:szCs w:val="22"/>
              </w:rPr>
              <w:t xml:space="preserve"> Rosantha Kumara</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5170394A" w14:textId="77777777" w:rsidR="007908BB" w:rsidRDefault="00DA6E06" w:rsidP="00DA6E06">
            <w:pPr>
              <w:suppressAutoHyphens/>
              <w:kinsoku w:val="0"/>
              <w:wordWrap w:val="0"/>
              <w:overflowPunct w:val="0"/>
              <w:autoSpaceDE w:val="0"/>
              <w:autoSpaceDN w:val="0"/>
              <w:spacing w:line="288" w:lineRule="atLeast"/>
              <w:rPr>
                <w:rFonts w:ascii="MS PMincho" w:eastAsia="MS PMincho" w:hAnsi="MS PMincho"/>
                <w:sz w:val="22"/>
                <w:szCs w:val="22"/>
              </w:rPr>
            </w:pPr>
            <w:r w:rsidRPr="007908BB">
              <w:rPr>
                <w:rFonts w:ascii="MS PMincho" w:eastAsia="MS PMincho" w:hAnsi="MS PMincho"/>
                <w:sz w:val="22"/>
                <w:szCs w:val="22"/>
              </w:rPr>
              <w:t xml:space="preserve">Advanced Magnesium International Research Center, </w:t>
            </w:r>
          </w:p>
          <w:p w14:paraId="32F1CA93" w14:textId="117F085B" w:rsidR="00FE7BC2" w:rsidRPr="00DA6E06" w:rsidRDefault="00DA6E06" w:rsidP="00DA6E06">
            <w:pPr>
              <w:suppressAutoHyphens/>
              <w:kinsoku w:val="0"/>
              <w:wordWrap w:val="0"/>
              <w:overflowPunct w:val="0"/>
              <w:autoSpaceDE w:val="0"/>
              <w:autoSpaceDN w:val="0"/>
              <w:spacing w:line="288" w:lineRule="atLeast"/>
            </w:pPr>
            <w:r w:rsidRPr="007908BB">
              <w:rPr>
                <w:rFonts w:ascii="MS PMincho" w:eastAsia="MS PMincho" w:hAnsi="MS PMincho"/>
                <w:sz w:val="22"/>
                <w:szCs w:val="22"/>
              </w:rPr>
              <w:t>Kumamoto University</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0BA850F8" w:rsidR="00FE7BC2" w:rsidRPr="00923EF0" w:rsidRDefault="00923EF0" w:rsidP="00923EF0">
            <w:pPr>
              <w:spacing w:line="284" w:lineRule="atLeast"/>
              <w:ind w:rightChars="232" w:right="487"/>
              <w:rPr>
                <w:rFonts w:ascii="MS PMincho" w:eastAsia="MS PMincho" w:hAnsi="MS PMincho"/>
                <w:sz w:val="22"/>
                <w:szCs w:val="22"/>
              </w:rPr>
            </w:pPr>
            <w:r w:rsidRPr="00923EF0">
              <w:rPr>
                <w:rFonts w:ascii="MS PMincho" w:eastAsia="MS PMincho" w:hAnsi="MS PMincho" w:hint="eastAsia"/>
                <w:sz w:val="22"/>
                <w:szCs w:val="22"/>
              </w:rPr>
              <w:t>P</w:t>
            </w:r>
            <w:r w:rsidRPr="00923EF0">
              <w:rPr>
                <w:rFonts w:ascii="MS PMincho" w:eastAsia="MS PMincho" w:hAnsi="MS PMincho"/>
                <w:sz w:val="22"/>
                <w:szCs w:val="22"/>
              </w:rPr>
              <w:t>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4E925E65" w:rsidR="00FE7BC2" w:rsidRPr="00E46D02" w:rsidRDefault="00E46D02" w:rsidP="00E46D02">
            <w:pPr>
              <w:suppressAutoHyphens/>
              <w:kinsoku w:val="0"/>
              <w:wordWrap w:val="0"/>
              <w:overflowPunct w:val="0"/>
              <w:autoSpaceDE w:val="0"/>
              <w:autoSpaceDN w:val="0"/>
              <w:spacing w:line="288" w:lineRule="atLeast"/>
              <w:rPr>
                <w:rFonts w:ascii="MS PMincho" w:eastAsia="MS PMincho" w:hAnsi="MS PMincho"/>
              </w:rPr>
            </w:pPr>
            <w:r w:rsidRPr="00E46D02">
              <w:rPr>
                <w:rFonts w:ascii="MS PMincho" w:eastAsia="MS PMincho" w:hAnsi="MS PMincho"/>
                <w:sz w:val="22"/>
                <w:szCs w:val="22"/>
              </w:rPr>
              <w:t>Yoshihito Kawamura</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2E3E2F1D" w:rsidR="00596D90" w:rsidRPr="00636A92" w:rsidRDefault="002955CB" w:rsidP="005A04CE">
            <w:pPr>
              <w:rPr>
                <w:rFonts w:ascii="MS PMincho" w:eastAsia="MS PMincho" w:hAnsi="MS PMincho"/>
                <w:sz w:val="22"/>
                <w:szCs w:val="22"/>
              </w:rPr>
            </w:pPr>
            <w:r w:rsidRPr="002955CB">
              <w:rPr>
                <w:rFonts w:ascii="MS PMincho" w:eastAsia="MS PMincho" w:hAnsi="MS PMincho"/>
                <w:sz w:val="22"/>
                <w:szCs w:val="22"/>
              </w:rPr>
              <w:t>In-situ Synchrotron XRD Investigation of Phase Evolution, Texture Changes, and Mechanical Behavior in Mg-Al-Ca Alloys for High-Performance Applications</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17B6123F" w:rsidR="005A04CE" w:rsidRDefault="00E2365C"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Pr>
                <w:rFonts w:ascii="MS PMincho" w:eastAsia="MS PMincho" w:hAnsi="MS PMincho" w:hint="eastAsia"/>
                <w:sz w:val="22"/>
                <w:szCs w:val="22"/>
              </w:rPr>
              <w:t>■</w:t>
            </w:r>
            <w:r w:rsidR="00636A92" w:rsidRPr="00636A92">
              <w:rPr>
                <w:rFonts w:ascii="MS PMincho" w:eastAsia="MS PMincho" w:hAnsi="MS PMincho" w:hint="eastAsia"/>
                <w:sz w:val="22"/>
                <w:szCs w:val="22"/>
              </w:rPr>
              <w:t xml:space="preserve">　Program for Joint Usage / Research Centers (JURC)</w:t>
            </w:r>
          </w:p>
          <w:p w14:paraId="07496DAC"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01FF9D15" w:rsidR="00596D90" w:rsidRPr="00636A92" w:rsidRDefault="00F330D0" w:rsidP="005A04CE">
            <w:pPr>
              <w:ind w:right="68"/>
              <w:rPr>
                <w:rFonts w:ascii="MS PMincho" w:eastAsia="MS PMincho" w:hAnsi="MS PMincho"/>
                <w:sz w:val="22"/>
                <w:szCs w:val="22"/>
              </w:rPr>
            </w:pPr>
            <w:r>
              <w:rPr>
                <w:rFonts w:ascii="MS PMincho" w:eastAsia="MS PMincho" w:hAnsi="MS PMincho" w:hint="eastAsia"/>
                <w:sz w:val="22"/>
                <w:szCs w:val="22"/>
              </w:rPr>
              <w:t>■</w:t>
            </w:r>
            <w:r w:rsidR="005A04CE">
              <w:rPr>
                <w:rFonts w:hint="eastAsia"/>
                <w:sz w:val="22"/>
                <w:szCs w:val="22"/>
              </w:rPr>
              <w:t xml:space="preserve"> </w:t>
            </w:r>
            <w:r w:rsidR="00636A92" w:rsidRPr="00636A92">
              <w:rPr>
                <w:rFonts w:ascii="MS PMincho" w:eastAsia="MS PMincho" w:hAnsi="MS PMincho"/>
                <w:sz w:val="22"/>
                <w:szCs w:val="22"/>
              </w:rPr>
              <w:t>Focused themes</w:t>
            </w:r>
          </w:p>
          <w:p w14:paraId="120E0CC3" w14:textId="6AA77B0D" w:rsidR="00596D90" w:rsidRPr="00636A92" w:rsidRDefault="0068388C" w:rsidP="005A04CE">
            <w:pPr>
              <w:ind w:right="68" w:firstLineChars="100" w:firstLine="220"/>
              <w:rPr>
                <w:rFonts w:ascii="MS PMincho" w:eastAsia="MS PMincho" w:hAnsi="MS PMincho"/>
                <w:sz w:val="22"/>
                <w:szCs w:val="22"/>
              </w:rPr>
            </w:pPr>
            <w:r>
              <w:rPr>
                <w:rFonts w:ascii="MS PMincho" w:eastAsia="MS PMincho" w:hAnsi="MS PMincho" w:hint="eastAsia"/>
                <w:sz w:val="22"/>
                <w:szCs w:val="22"/>
              </w:rPr>
              <w:t>■</w:t>
            </w:r>
            <w:r w:rsidR="00636A92">
              <w:rPr>
                <w:rFonts w:hint="eastAsia"/>
                <w:sz w:val="22"/>
                <w:szCs w:val="22"/>
              </w:rPr>
              <w:t xml:space="preserve"> </w:t>
            </w:r>
            <w:r w:rsidR="00636A92" w:rsidRPr="00636A92">
              <w:rPr>
                <w:rFonts w:ascii="MS PMincho" w:eastAsia="MS PMincho" w:hAnsi="MS PMincho"/>
                <w:sz w:val="22"/>
                <w:szCs w:val="22"/>
              </w:rPr>
              <w:t>Transportation</w:t>
            </w:r>
          </w:p>
          <w:p w14:paraId="2FEFE168" w14:textId="3F6BBC9C"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624103B9" w14:textId="193135B3" w:rsidR="00A16AEA" w:rsidRPr="00636A92" w:rsidRDefault="006F421A" w:rsidP="005A04CE">
            <w:pPr>
              <w:ind w:right="68"/>
              <w:rPr>
                <w:rFonts w:ascii="MS PMincho" w:eastAsia="MS PMincho" w:hAnsi="MS PMincho"/>
                <w:sz w:val="22"/>
                <w:szCs w:val="22"/>
              </w:rPr>
            </w:pPr>
            <w:r w:rsidRPr="009160B7">
              <w:rPr>
                <w:rFonts w:ascii="MS PMincho" w:eastAsia="MS PMincho" w:hAnsi="MS PMincho"/>
              </w:rPr>
              <w:t>The synthesis equipment for Mg-Al-Ca alloy and film evaluation equipment were supported by the Advanced Magnesium International Research Center at Kumamoto University.</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B851AC">
              <w:rPr>
                <w:rFonts w:ascii="MS PMincho" w:eastAsia="MS PMincho" w:hAnsi="MS PMincho"/>
                <w:spacing w:val="1"/>
                <w:w w:val="88"/>
                <w:kern w:val="0"/>
                <w:sz w:val="22"/>
                <w:szCs w:val="22"/>
                <w:fitText w:val="1760" w:id="-1267437312"/>
              </w:rPr>
              <w:t>Total amount of gran</w:t>
            </w:r>
            <w:r w:rsidRPr="00B851AC">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2E74F3AE"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w:t>
            </w:r>
            <w:r w:rsidR="00EC3AD7">
              <w:rPr>
                <w:rFonts w:ascii="MS PMincho" w:eastAsia="MS PMincho" w:hAnsi="MS PMincho"/>
                <w:sz w:val="22"/>
                <w:szCs w:val="22"/>
              </w:rPr>
              <w:t xml:space="preserve"> </w:t>
            </w:r>
            <w:r w:rsidR="00F1122F">
              <w:rPr>
                <w:rFonts w:ascii="MS PMincho" w:eastAsia="MS PMincho" w:hAnsi="MS PMincho"/>
                <w:sz w:val="22"/>
                <w:szCs w:val="22"/>
              </w:rPr>
              <w:t>250,000</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5845C776"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w:t>
            </w:r>
            <w:r w:rsidR="00EC3AD7">
              <w:rPr>
                <w:rFonts w:ascii="MS PMincho" w:eastAsia="MS PMincho" w:hAnsi="MS PMincho"/>
                <w:sz w:val="22"/>
                <w:szCs w:val="22"/>
              </w:rPr>
              <w:t xml:space="preserve">    50,000</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596D90" w:rsidRPr="005927ED" w:rsidRDefault="00C13F4C" w:rsidP="005A04CE">
            <w:pPr>
              <w:pStyle w:val="a"/>
              <w:wordWrap/>
              <w:spacing w:line="288" w:lineRule="atLeast"/>
              <w:rPr>
                <w:rFonts w:ascii="MS PMincho" w:eastAsia="MS PMincho" w:hAnsi="MS PMincho"/>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2E2165E4" w14:textId="4F097401"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3AF52A84" w14:textId="59394647" w:rsidR="00596D90" w:rsidRPr="00BE645E" w:rsidRDefault="00F657B1" w:rsidP="00F657B1">
            <w:pPr>
              <w:pStyle w:val="NormalWeb"/>
              <w:rPr>
                <w:rFonts w:eastAsia="MS PMincho"/>
                <w:sz w:val="22"/>
                <w:szCs w:val="22"/>
                <w:lang w:val="en-US"/>
              </w:rPr>
            </w:pPr>
            <w:r w:rsidRPr="00BE645E">
              <w:rPr>
                <w:rFonts w:eastAsia="MS PMincho"/>
                <w:sz w:val="22"/>
                <w:szCs w:val="22"/>
                <w:lang w:val="en-US"/>
              </w:rPr>
              <w:t>The high-temperature in-situ synchrotron XRD studies examined protective oxide films controlling nonflammability and oxidation resistance in magnesium alloys. In Mg–Al–Ca–Mn, 2θ–sin²Ω measurements showed CaO initially formed at 773 K under tensile stress, then evolved into a CaO/MgO bilayer above 823 K. After melting, inner MgO supported the film while outer CaO developed strong compressive stress, preserving protection. In Mg–Zn–Y and Be-containing Mg–Zn–Y alloys, Y₂O₃ films changed from weak tensile to compressive stress with temperature. Be/BeO segregation at Y₂O₃ grain boundaries blocked oxygen diffusion, increased compressive stress, and improved oxidation resistance.</w:t>
            </w:r>
          </w:p>
          <w:p w14:paraId="6A6CDD1F" w14:textId="3D752C3E"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3A325484" w14:textId="56350B51" w:rsidR="003C7BA2" w:rsidRPr="00BF1DC2" w:rsidRDefault="00FD637F" w:rsidP="005A04CE">
            <w:pPr>
              <w:pStyle w:val="a"/>
              <w:wordWrap/>
              <w:spacing w:line="288" w:lineRule="atLeast"/>
              <w:rPr>
                <w:rFonts w:ascii="Times New Roman" w:hAnsi="Times New Roman" w:cs="Times New Roman"/>
              </w:rPr>
            </w:pPr>
            <w:r w:rsidRPr="00FD637F">
              <w:rPr>
                <w:rFonts w:ascii="Times New Roman" w:hAnsi="Times New Roman" w:cs="Times New Roman"/>
              </w:rPr>
              <w:t>Future research should focus on designing stable multilayer oxide films that generate beneficial compressive stress during high-temperature exposure and melting. In-situ synchrotron XRD can be extended to wider Mg alloy systems to clarify stress evolution, diffusion paths, and oxide-film failure mechanisms. Optimizing Ca, Y, Be or safer alternative microalloying elements may improve nonflammability while reducing environmental and health concerns. Combining in-situ XRD with TEM, thermodynamic modeling, and oxidation kinetics will support predictive alloy design. These studies can guide development of lightweight, ignition-resistant Mg alloys for automotive, aerospace, and electronics applications requiring reliable oxidation protection at elevated temperatures and improved safety margins.</w:t>
            </w:r>
          </w:p>
          <w:p w14:paraId="6BD61496" w14:textId="173100C5"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0EE0A945" w14:textId="19F2FAEA"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Publication</w:t>
            </w:r>
          </w:p>
          <w:p w14:paraId="3DF806F5" w14:textId="01756CFE" w:rsidR="000E2C54" w:rsidRPr="00860037" w:rsidRDefault="00596D90" w:rsidP="000E2C54">
            <w:pPr>
              <w:spacing w:before="80" w:line="240" w:lineRule="exact"/>
              <w:rPr>
                <w:rFonts w:ascii="Times New Roman" w:eastAsia="MS PMincho" w:hAnsi="Times New Roman"/>
                <w:kern w:val="0"/>
                <w:sz w:val="22"/>
                <w:szCs w:val="22"/>
              </w:rPr>
            </w:pPr>
            <w:r w:rsidRPr="005927ED">
              <w:rPr>
                <w:rFonts w:ascii="MS PMincho" w:eastAsia="MS PMincho" w:hAnsi="MS PMincho" w:hint="eastAsia"/>
              </w:rPr>
              <w:t xml:space="preserve">　</w:t>
            </w:r>
            <w:r w:rsidR="000E2C54" w:rsidRPr="00860037">
              <w:rPr>
                <w:rFonts w:ascii="Times New Roman" w:eastAsia="MS PMincho" w:hAnsi="Times New Roman"/>
                <w:sz w:val="22"/>
                <w:szCs w:val="22"/>
              </w:rPr>
              <w:t>1.</w:t>
            </w:r>
            <w:r w:rsidR="0070672B" w:rsidRPr="00860037">
              <w:rPr>
                <w:rFonts w:ascii="Times New Roman" w:eastAsia="MS PMincho" w:hAnsi="Times New Roman"/>
                <w:sz w:val="22"/>
                <w:szCs w:val="22"/>
              </w:rPr>
              <w:t xml:space="preserve"> </w:t>
            </w:r>
            <w:r w:rsidR="000E2C54" w:rsidRPr="00860037">
              <w:rPr>
                <w:rFonts w:ascii="Times New Roman" w:eastAsia="MS PMincho" w:hAnsi="Times New Roman"/>
                <w:kern w:val="0"/>
                <w:sz w:val="22"/>
                <w:szCs w:val="22"/>
              </w:rPr>
              <w:t>S. Inoue, L. S. R. Kumara, Y. Kawamura, Effect of CaO/MgO bilayer film formation on nonflammability and oxidation resistance of Mg–Al–Ca alloys determined by high-temperature in situ residual stress measurement, Corrosion Science, 257, 113311 (2025).</w:t>
            </w:r>
          </w:p>
          <w:p w14:paraId="584FF988" w14:textId="77777777" w:rsidR="00596D90" w:rsidRPr="00860037" w:rsidRDefault="00E457A0" w:rsidP="00B43A1A">
            <w:pPr>
              <w:spacing w:before="80" w:line="240" w:lineRule="exact"/>
              <w:rPr>
                <w:rFonts w:ascii="Times New Roman" w:eastAsia="MS PMincho" w:hAnsi="Times New Roman"/>
                <w:kern w:val="0"/>
                <w:sz w:val="22"/>
                <w:szCs w:val="22"/>
              </w:rPr>
            </w:pPr>
            <w:r w:rsidRPr="00860037">
              <w:rPr>
                <w:rFonts w:ascii="Times New Roman" w:eastAsia="MS PMincho" w:hAnsi="Times New Roman"/>
                <w:sz w:val="22"/>
                <w:szCs w:val="22"/>
              </w:rPr>
              <w:t xml:space="preserve"> </w:t>
            </w:r>
            <w:r w:rsidR="0070672B" w:rsidRPr="00860037">
              <w:rPr>
                <w:rFonts w:ascii="Times New Roman" w:eastAsia="MS PMincho" w:hAnsi="Times New Roman"/>
                <w:sz w:val="22"/>
                <w:szCs w:val="22"/>
              </w:rPr>
              <w:t xml:space="preserve">2. </w:t>
            </w:r>
            <w:r w:rsidR="0042256E" w:rsidRPr="00860037">
              <w:rPr>
                <w:rFonts w:ascii="Times New Roman" w:eastAsia="MS PMincho" w:hAnsi="Times New Roman"/>
                <w:kern w:val="0"/>
                <w:sz w:val="22"/>
                <w:szCs w:val="22"/>
              </w:rPr>
              <w:t>S. Inoue,</w:t>
            </w:r>
            <w:r w:rsidR="00FE7B4F" w:rsidRPr="00860037">
              <w:rPr>
                <w:rFonts w:ascii="Times New Roman" w:eastAsia="MS PMincho" w:hAnsi="Times New Roman"/>
                <w:kern w:val="0"/>
                <w:sz w:val="22"/>
                <w:szCs w:val="22"/>
              </w:rPr>
              <w:t xml:space="preserve"> </w:t>
            </w:r>
            <w:r w:rsidR="0042256E" w:rsidRPr="00860037">
              <w:rPr>
                <w:rFonts w:ascii="Times New Roman" w:eastAsia="MS PMincho" w:hAnsi="Times New Roman"/>
                <w:kern w:val="0"/>
                <w:sz w:val="22"/>
                <w:szCs w:val="22"/>
              </w:rPr>
              <w:t>C. Wei Sung, P. Wei Chu, L. S. R. Kumara, Y. Kawamura, Effects of beryllium segregation along grain boundaries of Y2O3 film in Mg–Zn–Y alloy on nonflammability and oxidation resistance, Materials Today Communications 47, 113098 (2025).</w:t>
            </w:r>
          </w:p>
          <w:p w14:paraId="0DBDF03C" w14:textId="77777777" w:rsidR="004710D7" w:rsidRDefault="004710D7" w:rsidP="00B43A1A">
            <w:pPr>
              <w:spacing w:before="80" w:line="240" w:lineRule="exact"/>
              <w:rPr>
                <w:rFonts w:ascii="MS PMincho" w:eastAsia="MS PMincho" w:hAnsi="MS PMincho" w:cs="MS Gothic"/>
                <w:kern w:val="0"/>
                <w:sz w:val="22"/>
                <w:szCs w:val="22"/>
              </w:rPr>
            </w:pPr>
          </w:p>
          <w:p w14:paraId="2B1D7F3D" w14:textId="53AADC73" w:rsidR="004710D7" w:rsidRPr="00B43A1A" w:rsidRDefault="004710D7" w:rsidP="00B43A1A">
            <w:pPr>
              <w:spacing w:before="80" w:line="240" w:lineRule="exact"/>
              <w:rPr>
                <w:rFonts w:ascii="MS PMincho" w:eastAsia="MS PMincho" w:hAnsi="MS PMincho" w:cs="MS Gothic"/>
                <w:kern w:val="0"/>
                <w:sz w:val="22"/>
                <w:szCs w:val="22"/>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6A0C6F02" w:rsidR="00A16AEA" w:rsidRPr="005927ED" w:rsidRDefault="00A16AEA" w:rsidP="00D024DD">
            <w:pPr>
              <w:pStyle w:val="a"/>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A03F" w14:textId="77777777" w:rsidR="00436D31" w:rsidRDefault="00436D31">
      <w:r>
        <w:separator/>
      </w:r>
    </w:p>
  </w:endnote>
  <w:endnote w:type="continuationSeparator" w:id="0">
    <w:p w14:paraId="10095A8F" w14:textId="77777777" w:rsidR="00436D31" w:rsidRDefault="0043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altName w:val="ＭＳ Ｐ明朝"/>
    <w:panose1 w:val="02020600040205080304"/>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842F" w14:textId="77777777" w:rsidR="00436D31" w:rsidRDefault="00436D31">
      <w:r>
        <w:separator/>
      </w:r>
    </w:p>
  </w:footnote>
  <w:footnote w:type="continuationSeparator" w:id="0">
    <w:p w14:paraId="3EB64B29" w14:textId="77777777" w:rsidR="00436D31" w:rsidRDefault="0043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Header"/>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E2C54"/>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955CB"/>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C7BA2"/>
    <w:rsid w:val="003D0596"/>
    <w:rsid w:val="003E4667"/>
    <w:rsid w:val="003E7B5E"/>
    <w:rsid w:val="003F3284"/>
    <w:rsid w:val="003F58CB"/>
    <w:rsid w:val="003F5E5B"/>
    <w:rsid w:val="0040069F"/>
    <w:rsid w:val="004024A8"/>
    <w:rsid w:val="00406AD6"/>
    <w:rsid w:val="00411B8E"/>
    <w:rsid w:val="0042256E"/>
    <w:rsid w:val="004236F7"/>
    <w:rsid w:val="004253BF"/>
    <w:rsid w:val="00430ED2"/>
    <w:rsid w:val="004335B3"/>
    <w:rsid w:val="00436D31"/>
    <w:rsid w:val="00443DAF"/>
    <w:rsid w:val="0046310B"/>
    <w:rsid w:val="004710D7"/>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4E46B0"/>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3E12"/>
    <w:rsid w:val="005F7A9B"/>
    <w:rsid w:val="006072A7"/>
    <w:rsid w:val="00636A92"/>
    <w:rsid w:val="00657E4A"/>
    <w:rsid w:val="00663CBD"/>
    <w:rsid w:val="00670540"/>
    <w:rsid w:val="00677590"/>
    <w:rsid w:val="0068388C"/>
    <w:rsid w:val="00691043"/>
    <w:rsid w:val="0069343D"/>
    <w:rsid w:val="00694C20"/>
    <w:rsid w:val="006A41DE"/>
    <w:rsid w:val="006B0B4F"/>
    <w:rsid w:val="006C3289"/>
    <w:rsid w:val="006D49C0"/>
    <w:rsid w:val="006E1155"/>
    <w:rsid w:val="006F421A"/>
    <w:rsid w:val="006F4346"/>
    <w:rsid w:val="00700B53"/>
    <w:rsid w:val="00700CE5"/>
    <w:rsid w:val="0070455B"/>
    <w:rsid w:val="0070672B"/>
    <w:rsid w:val="00706F69"/>
    <w:rsid w:val="0071088A"/>
    <w:rsid w:val="00726929"/>
    <w:rsid w:val="0074560D"/>
    <w:rsid w:val="007639CD"/>
    <w:rsid w:val="007725D9"/>
    <w:rsid w:val="007908BB"/>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0037"/>
    <w:rsid w:val="00864BA7"/>
    <w:rsid w:val="00870BE9"/>
    <w:rsid w:val="00876B94"/>
    <w:rsid w:val="008770E0"/>
    <w:rsid w:val="0087731F"/>
    <w:rsid w:val="00886F13"/>
    <w:rsid w:val="008915C0"/>
    <w:rsid w:val="008B29F3"/>
    <w:rsid w:val="008B5755"/>
    <w:rsid w:val="008D165D"/>
    <w:rsid w:val="008D5347"/>
    <w:rsid w:val="008D63A2"/>
    <w:rsid w:val="008D7C8A"/>
    <w:rsid w:val="008E713D"/>
    <w:rsid w:val="008E7C24"/>
    <w:rsid w:val="008F5DD4"/>
    <w:rsid w:val="00903249"/>
    <w:rsid w:val="00904012"/>
    <w:rsid w:val="0090662A"/>
    <w:rsid w:val="00923EF0"/>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5677"/>
    <w:rsid w:val="00A56A37"/>
    <w:rsid w:val="00A604E0"/>
    <w:rsid w:val="00A61C3C"/>
    <w:rsid w:val="00A72A6C"/>
    <w:rsid w:val="00A755D9"/>
    <w:rsid w:val="00A818CD"/>
    <w:rsid w:val="00A821C7"/>
    <w:rsid w:val="00A85CDB"/>
    <w:rsid w:val="00A97EBC"/>
    <w:rsid w:val="00AA1B3A"/>
    <w:rsid w:val="00AB11BE"/>
    <w:rsid w:val="00AC7935"/>
    <w:rsid w:val="00AF2175"/>
    <w:rsid w:val="00AF2F5D"/>
    <w:rsid w:val="00AF6EF7"/>
    <w:rsid w:val="00B40432"/>
    <w:rsid w:val="00B43A1A"/>
    <w:rsid w:val="00B4528B"/>
    <w:rsid w:val="00B45404"/>
    <w:rsid w:val="00B54F0D"/>
    <w:rsid w:val="00B678E9"/>
    <w:rsid w:val="00B71C36"/>
    <w:rsid w:val="00B7757C"/>
    <w:rsid w:val="00B77734"/>
    <w:rsid w:val="00B851AC"/>
    <w:rsid w:val="00B85A58"/>
    <w:rsid w:val="00B867AE"/>
    <w:rsid w:val="00B87A87"/>
    <w:rsid w:val="00B9237F"/>
    <w:rsid w:val="00B960E7"/>
    <w:rsid w:val="00B96D17"/>
    <w:rsid w:val="00BB119D"/>
    <w:rsid w:val="00BB1248"/>
    <w:rsid w:val="00BB3CAA"/>
    <w:rsid w:val="00BB5007"/>
    <w:rsid w:val="00BB710D"/>
    <w:rsid w:val="00BC052A"/>
    <w:rsid w:val="00BE645E"/>
    <w:rsid w:val="00BE69C3"/>
    <w:rsid w:val="00BE6C3E"/>
    <w:rsid w:val="00BF1DC2"/>
    <w:rsid w:val="00C13F4C"/>
    <w:rsid w:val="00C159A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82B04"/>
    <w:rsid w:val="00D82C90"/>
    <w:rsid w:val="00D82DA2"/>
    <w:rsid w:val="00DA0032"/>
    <w:rsid w:val="00DA044E"/>
    <w:rsid w:val="00DA6E06"/>
    <w:rsid w:val="00DB1B60"/>
    <w:rsid w:val="00DB4369"/>
    <w:rsid w:val="00DB4924"/>
    <w:rsid w:val="00DD0428"/>
    <w:rsid w:val="00DD5F5D"/>
    <w:rsid w:val="00DE4412"/>
    <w:rsid w:val="00DF4E75"/>
    <w:rsid w:val="00E152D1"/>
    <w:rsid w:val="00E2365C"/>
    <w:rsid w:val="00E41F6F"/>
    <w:rsid w:val="00E442D8"/>
    <w:rsid w:val="00E457A0"/>
    <w:rsid w:val="00E46D02"/>
    <w:rsid w:val="00E6722A"/>
    <w:rsid w:val="00E7114C"/>
    <w:rsid w:val="00E878C2"/>
    <w:rsid w:val="00E94635"/>
    <w:rsid w:val="00E96D99"/>
    <w:rsid w:val="00EA178E"/>
    <w:rsid w:val="00EA2364"/>
    <w:rsid w:val="00EA3DDE"/>
    <w:rsid w:val="00EB4063"/>
    <w:rsid w:val="00EC291F"/>
    <w:rsid w:val="00EC3AD7"/>
    <w:rsid w:val="00ED4F86"/>
    <w:rsid w:val="00ED71D6"/>
    <w:rsid w:val="00EE06CF"/>
    <w:rsid w:val="00F076DC"/>
    <w:rsid w:val="00F1122F"/>
    <w:rsid w:val="00F16AE6"/>
    <w:rsid w:val="00F330D0"/>
    <w:rsid w:val="00F3695C"/>
    <w:rsid w:val="00F657B1"/>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D637F"/>
    <w:rsid w:val="00FE7B4F"/>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D9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Header">
    <w:name w:val="header"/>
    <w:basedOn w:val="Normal"/>
    <w:link w:val="HeaderChar"/>
    <w:uiPriority w:val="99"/>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BalloonText">
    <w:name w:val="Balloon Text"/>
    <w:basedOn w:val="Normal"/>
    <w:semiHidden/>
    <w:rPr>
      <w:rFonts w:ascii="Arial" w:eastAsia="MS Gothic" w:hAnsi="Arial"/>
      <w:sz w:val="18"/>
      <w:szCs w:val="18"/>
    </w:rPr>
  </w:style>
  <w:style w:type="character" w:styleId="CommentReference">
    <w:name w:val="annotation reference"/>
    <w:semiHidden/>
    <w:rPr>
      <w:sz w:val="18"/>
      <w:szCs w:val="18"/>
    </w:rPr>
  </w:style>
  <w:style w:type="paragraph" w:styleId="CommentText">
    <w:name w:val="annotation text"/>
    <w:basedOn w:val="Normal"/>
    <w:semiHidden/>
    <w:pPr>
      <w:jc w:val="left"/>
    </w:pPr>
  </w:style>
  <w:style w:type="paragraph" w:styleId="CommentSubject">
    <w:name w:val="annotation subject"/>
    <w:basedOn w:val="CommentText"/>
    <w:next w:val="CommentText"/>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Hyperlink">
    <w:name w:val="Hyperlink"/>
    <w:rsid w:val="00F963DD"/>
    <w:rPr>
      <w:color w:val="0000FF"/>
      <w:u w:val="single"/>
    </w:rPr>
  </w:style>
  <w:style w:type="character" w:customStyle="1" w:styleId="HeaderChar">
    <w:name w:val="Header Char"/>
    <w:link w:val="Header"/>
    <w:uiPriority w:val="99"/>
    <w:rsid w:val="00DD5F5D"/>
    <w:rPr>
      <w:kern w:val="2"/>
      <w:sz w:val="21"/>
      <w:szCs w:val="24"/>
    </w:rPr>
  </w:style>
  <w:style w:type="table" w:styleId="TableGrid">
    <w:name w:val="Table Grid"/>
    <w:basedOn w:val="TableNormal"/>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57B1"/>
    <w:pPr>
      <w:widowControl/>
      <w:spacing w:before="100" w:beforeAutospacing="1" w:after="100" w:afterAutospacing="1"/>
      <w:jc w:val="left"/>
    </w:pPr>
    <w:rPr>
      <w:rFonts w:ascii="Times New Roman" w:eastAsia="Times New Roman" w:hAnsi="Times New Roman"/>
      <w:kern w:val="0"/>
      <w:sz w:val="24"/>
      <w:lang w:val="en-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554</Words>
  <Characters>3160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Rosantha Kumara</cp:lastModifiedBy>
  <cp:revision>41</cp:revision>
  <cp:lastPrinted>2023-04-26T09:24:00Z</cp:lastPrinted>
  <dcterms:created xsi:type="dcterms:W3CDTF">2024-04-17T05:00:00Z</dcterms:created>
  <dcterms:modified xsi:type="dcterms:W3CDTF">2026-05-11T06:30:00Z</dcterms:modified>
</cp:coreProperties>
</file>